
<file path=[Content_Types].xml><?xml version="1.0" encoding="utf-8"?>
<Types xmlns="http://schemas.openxmlformats.org/package/2006/content-types">
  <Default Extension="jpeg" ContentType="image/jpeg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15="http://schemas.microsoft.com/office/word/2012/wordml" xmlns:wpi="http://schemas.microsoft.com/office/word/2010/wordprocessingInk" xmlns:w16cid="http://schemas.microsoft.com/office/word/2016/wordml/cid" xmlns:am3d="http://schemas.microsoft.com/office/drawing/2017/model3d" xmlns:w16se="http://schemas.microsoft.com/office/word/2015/wordml/symex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mc:Ignorable="w14 wp14 w15">
  <w:body>
    <w:p>
      <w:pPr>
        <w:jc w:val="center"/>
        <w:rPr/>
      </w:pPr>
    </w:p>
    <w:p>
      <w:pPr>
        <w:rPr/>
      </w:pPr>
      <w:r>
        <w:rPr>
          <w:sz w:val="20"/>
        </w:rPr>
        <w:drawing>
          <wp:anchor distT="0" distB="0" distL="114300" distR="114300" simplePos="0" relativeHeight="251624961" behindDoc="0" locked="0" layoutInCell="1" allowOverlap="1">
            <wp:simplePos x="0" y="0"/>
            <wp:positionH relativeFrom="margin">
              <wp:posOffset>3416305</wp:posOffset>
            </wp:positionH>
            <wp:positionV relativeFrom="margin">
              <wp:posOffset>527055</wp:posOffset>
            </wp:positionV>
            <wp:extent cx="2031365" cy="666750"/>
            <wp:effectExtent l="0" t="0" r="6985" b="0"/>
            <wp:wrapSquare wrapText="bothSides"/>
            <wp:docPr id="9" name="그림 2" descr="텍스트이(가) 표시된 사진  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/Users/user/AppData/Roaming/PolarisOffice/ETemp/10456_7372560/image1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2000" cy="667385"/>
                    </a:xfrm>
                    <a:prstGeom prst="rect"/>
                    <a:ln cap="flat"/>
                  </pic:spPr>
                </pic:pic>
              </a:graphicData>
            </a:graphic>
          </wp:anchor>
        </w:drawing>
      </w:r>
      <w:r>
        <w:rPr>
          <w:sz w:val="20"/>
        </w:rPr>
        <w:drawing>
          <wp:inline distT="0" distB="0" distL="0" distR="0">
            <wp:extent cx="2451100" cy="1412875"/>
            <wp:effectExtent l="0" t="0" r="0" b="0"/>
            <wp:docPr id="10" name="Picture 9" descr="Logo  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:/Users/user/AppData/Roaming/PolarisOffice/ETemp/10456_7372560/image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99" r="3436"/>
                    <a:stretch>
                      <a:fillRect/>
                    </a:stretch>
                  </pic:blipFill>
                  <pic:spPr>
                    <a:xfrm>
                      <a:off x="0" y="0"/>
                      <a:ext cx="2451735" cy="1413510"/>
                    </a:xfrm>
                    <a:prstGeom prst="rect"/>
                    <a:noFill/>
                    <a:ln cap="flat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/>
      </w:pPr>
      <w:r>
        <w:rPr/>
        <w:t xml:space="preserve">International Feminist Journal of Politics-Asian Center for Women’s Studies </w:t>
      </w:r>
    </w:p>
    <w:p>
      <w:pPr>
        <w:jc w:val="center"/>
        <w:rPr/>
      </w:pPr>
      <w:r>
        <w:rPr/>
        <w:t xml:space="preserve">Ewha Womans University </w:t>
      </w:r>
    </w:p>
    <w:p>
      <w:pPr>
        <w:jc w:val="center"/>
        <w:rPr/>
      </w:pPr>
      <w:r>
        <w:rPr/>
        <w:t xml:space="preserve">Hybrid Conference </w:t>
      </w:r>
    </w:p>
    <w:p>
      <w:pPr>
        <w:jc w:val="center"/>
        <w:rPr/>
      </w:pPr>
      <w:r>
        <w:rPr/>
        <w:t xml:space="preserve">South Korea, July 21-23, 2022</w:t>
      </w:r>
    </w:p>
    <w:p>
      <w:pPr>
        <w:jc w:val="center"/>
        <w:rPr/>
      </w:pPr>
    </w:p>
    <w:p>
      <w:pPr>
        <w:jc w:val="center"/>
        <w:rPr>
          <w:i w:val="1"/>
          <w:b w:val="1"/>
        </w:rPr>
      </w:pPr>
      <w:r>
        <w:rPr>
          <w:b w:val="1"/>
        </w:rPr>
        <w:t xml:space="preserve">Remapping the feminist global: </w:t>
      </w:r>
      <w:r>
        <w:rPr>
          <w:i w:val="1"/>
          <w:b w:val="1"/>
        </w:rPr>
        <w:t xml:space="preserve">A multi-vocal, multi-located conversation</w:t>
      </w:r>
    </w:p>
    <w:p>
      <w:pPr>
        <w:jc w:val="both"/>
        <w:rPr>
          <w:i w:val="1"/>
        </w:rPr>
      </w:pPr>
    </w:p>
    <w:p>
      <w:pPr>
        <w:jc w:val="both"/>
        <w:rPr>
          <w:b w:val="1"/>
        </w:rPr>
      </w:pPr>
      <w:r>
        <w:rPr>
          <w:i w:val="1"/>
        </w:rPr>
        <w:t xml:space="preserve"> </w:t>
      </w:r>
    </w:p>
    <w:p>
      <w:pPr>
        <w:rPr/>
      </w:pPr>
      <w:r>
        <w:rPr/>
        <w:t xml:space="preserve">We invite participants to this multi-location hybrid conference, ‘</w:t>
      </w:r>
      <w:r>
        <w:rPr>
          <w:b w:val="1"/>
        </w:rPr>
        <w:t xml:space="preserve">Remapping the feminist </w:t>
      </w:r>
      <w:r>
        <w:rPr>
          <w:b w:val="1"/>
        </w:rPr>
        <w:t>global</w:t>
      </w:r>
      <w:r>
        <w:rPr/>
        <w:t xml:space="preserve">’ co-convened by </w:t>
      </w:r>
      <w:r>
        <w:rPr>
          <w:i w:val="1"/>
        </w:rPr>
        <w:t xml:space="preserve">International Feminist Journal of Politics</w:t>
      </w:r>
      <w:r>
        <w:rPr/>
        <w:t xml:space="preserve"> and Asian Center for </w:t>
      </w:r>
      <w:r>
        <w:rPr/>
        <w:t xml:space="preserve">Women’s Studies, Ewha Womans University. </w:t>
      </w:r>
    </w:p>
    <w:p>
      <w:pPr>
        <w:rPr/>
      </w:pPr>
    </w:p>
    <w:p>
      <w:pPr>
        <w:jc w:val="both"/>
        <w:rPr/>
      </w:pPr>
      <w:r>
        <w:rPr/>
        <w:t xml:space="preserve">Feminism(s)– like other academic knowledge and global movements – bear the effects of </w:t>
      </w:r>
      <w:r>
        <w:rPr/>
        <w:t xml:space="preserve">historic and new permutations of Eurocentrism, colonialism and imperialism that continue to </w:t>
      </w:r>
      <w:r>
        <w:rPr/>
        <w:t xml:space="preserve">shape not only feminism but the global world we inhabit and seek to change. Convened in </w:t>
      </w:r>
      <w:r>
        <w:rPr/>
        <w:t xml:space="preserve">South Korea, this 2022 conference turns to Asia as a geographic location and imaginary that </w:t>
      </w:r>
      <w:r>
        <w:rPr/>
        <w:t xml:space="preserve">offers an important anchoring for global feminist conversations to move beyond the current </w:t>
      </w:r>
      <w:r>
        <w:rPr/>
        <w:t xml:space="preserve">hegemonic hold of the West and the (imperial) nation-state system that emerged wherein the </w:t>
      </w:r>
      <w:r>
        <w:rPr/>
        <w:t xml:space="preserve">global governance structure has pre-determined how feminism becomes a salient political and </w:t>
      </w:r>
      <w:r>
        <w:rPr/>
        <w:t xml:space="preserve">academic discourse.  Urgently needed are collective reflections on emerging hierarchies not </w:t>
      </w:r>
      <w:r>
        <w:rPr/>
        <w:t xml:space="preserve">only between West and non-West but as the focus of this call for conversation, the hierarchies </w:t>
      </w:r>
      <w:r>
        <w:rPr/>
        <w:t xml:space="preserve">and relations in and between ‘the non-West’. Feminist scholars, editors, policymakers, </w:t>
      </w:r>
      <w:r>
        <w:rPr/>
        <w:t xml:space="preserve">practitioners, activists and teachers, more than ever, need to come together to exchange ideas </w:t>
      </w:r>
      <w:r>
        <w:rPr/>
        <w:t xml:space="preserve">and </w:t>
      </w:r>
      <w:r>
        <w:rPr>
          <w:i w:val="1"/>
        </w:rPr>
        <w:t>co-create</w:t>
      </w:r>
      <w:r>
        <w:rPr/>
        <w:t xml:space="preserve"> transnational and/or global feminist futures by mending broken linkages. This is </w:t>
      </w:r>
      <w:r>
        <w:rPr/>
        <w:t xml:space="preserve">an age-old conundrum that has riddled feminist inroads into institutions and public spaces; we </w:t>
      </w:r>
      <w:r>
        <w:rPr/>
        <w:t xml:space="preserve">seek a more satisfactory redress in the wake of greater separate and parallel developments in </w:t>
      </w:r>
      <w:r>
        <w:rPr/>
        <w:t xml:space="preserve">feminist research in siloes, global anti-feminist backlash and polarization of politics. </w:t>
      </w:r>
    </w:p>
    <w:p>
      <w:pPr>
        <w:jc w:val="both"/>
        <w:rPr/>
      </w:pPr>
    </w:p>
    <w:p>
      <w:pPr>
        <w:jc w:val="both"/>
        <w:rPr>
          <w:lang w:val="en-AU"/>
        </w:rPr>
      </w:pPr>
      <w:r>
        <w:rPr/>
        <w:t xml:space="preserve">The set of questions animating this conference is: </w:t>
      </w:r>
      <w:r>
        <w:rPr>
          <w:color w:val="1A1A26"/>
        </w:rPr>
        <w:t xml:space="preserve">How do feminists across regions and </w:t>
      </w:r>
      <w:r>
        <w:rPr>
          <w:color w:val="1A1A26"/>
        </w:rPr>
        <w:t xml:space="preserve">locations speak and share ideas when the work cannot wait for academic feminists, when</w:t>
      </w:r>
      <w:r>
        <w:rPr/>
        <w:t xml:space="preserve"> </w:t>
      </w:r>
      <w:r>
        <w:rPr>
          <w:color w:val="1A1A26"/>
        </w:rPr>
        <w:t xml:space="preserve">the </w:t>
      </w:r>
      <w:r>
        <w:rPr>
          <w:color w:val="1A1A26"/>
        </w:rPr>
        <w:t xml:space="preserve">worlds we live in and work to change do not wait and cannot wait for academic conventions </w:t>
      </w:r>
      <w:r>
        <w:rPr>
          <w:color w:val="1A1A26"/>
        </w:rPr>
        <w:t xml:space="preserve">to catch up? </w:t>
      </w:r>
      <w:r>
        <w:rPr>
          <w:lang w:val="en-AU"/>
        </w:rPr>
        <w:t xml:space="preserve">These questions are not discrete or exclusive. We encourage and expect work </w:t>
      </w:r>
      <w:r>
        <w:rPr>
          <w:lang w:val="en-AU"/>
        </w:rPr>
        <w:t xml:space="preserve">where multiple inquiries/conditions/ identities/ experiences intersect and/or collide.</w:t>
      </w:r>
    </w:p>
    <w:p>
      <w:pPr>
        <w:jc w:val="both"/>
        <w:rPr>
          <w:color w:val="1A1A26"/>
        </w:rPr>
      </w:pPr>
      <w:r>
        <w:rPr>
          <w:color w:val="1A1A26"/>
        </w:rPr>
        <w:t xml:space="preserve">We believe that in a world where feminists working in universities as organic intellectuals and </w:t>
      </w:r>
      <w:r>
        <w:rPr>
          <w:color w:val="1A1A26"/>
        </w:rPr>
        <w:t xml:space="preserve">teachers for change not only requires foundational interrogation but also demands radical </w:t>
      </w:r>
      <w:r>
        <w:rPr>
          <w:color w:val="1A1A26"/>
        </w:rPr>
        <w:t xml:space="preserve">methodological moves to keep true. In this spirit, we invite critical and creative discussions </w:t>
      </w:r>
      <w:r>
        <w:rPr>
          <w:color w:val="1A1A26"/>
        </w:rPr>
        <w:t xml:space="preserve">that expand and better locate the ‘academic research’, ‘university’ and ‘scholarship’ with artists, </w:t>
      </w:r>
      <w:r>
        <w:rPr>
          <w:color w:val="1A1A26"/>
        </w:rPr>
        <w:t xml:space="preserve">poets, activists, and policy practitioners across regions and locations. We believe engendering </w:t>
      </w:r>
      <w:r>
        <w:rPr>
          <w:color w:val="1A1A26"/>
        </w:rPr>
        <w:t xml:space="preserve">new, surprising conversations and encounters that would otherwise not happen should be the </w:t>
      </w:r>
      <w:r>
        <w:rPr>
          <w:color w:val="1A1A26"/>
        </w:rPr>
        <w:t xml:space="preserve">main way we think about inter-institutional, and interdisciplinary collaboration across the </w:t>
      </w:r>
      <w:r>
        <w:rPr>
          <w:color w:val="1A1A26"/>
        </w:rPr>
        <w:t xml:space="preserve">activist-academia divide and locations.</w:t>
      </w:r>
    </w:p>
    <w:p>
      <w:pPr>
        <w:jc w:val="both"/>
        <w:rPr/>
      </w:pPr>
    </w:p>
    <w:p>
      <w:pPr>
        <w:jc w:val="both"/>
        <w:rPr/>
      </w:pPr>
    </w:p>
    <w:p>
      <w:pPr>
        <w:jc w:val="both"/>
        <w:rPr/>
      </w:pPr>
      <w:r>
        <w:rPr>
          <w:b w:val="1"/>
        </w:rPr>
        <w:t>Format</w:t>
      </w:r>
    </w:p>
    <w:p>
      <w:pPr>
        <w:jc w:val="both"/>
        <w:rPr/>
      </w:pPr>
      <w:r>
        <w:rPr/>
        <w:t xml:space="preserve">The two-day in-person proceedings will be held in Seoul hosted by the Asian Center for </w:t>
      </w:r>
      <w:r>
        <w:rPr/>
        <w:t xml:space="preserve">Women’s Studies, Ewha Womans University. They will be livestreamed, allow online </w:t>
      </w:r>
      <w:r>
        <w:rPr/>
        <w:t xml:space="preserve">participation, and connected with three additional hubs in Oceania, South East Asia and South </w:t>
      </w:r>
      <w:r>
        <w:rPr/>
        <w:t xml:space="preserve">Asia (hubs will be announced early 2022). The third day of the conference will be fully </w:t>
      </w:r>
      <w:r>
        <w:rPr/>
        <w:t xml:space="preserve">virtual, hosted by the hubs each convening a plenary event as well as functioning as a </w:t>
      </w:r>
      <w:r>
        <w:rPr/>
        <w:t xml:space="preserve">physical gathering place for that day for those who can travel to these sites better. </w:t>
      </w:r>
    </w:p>
    <w:p>
      <w:pPr>
        <w:jc w:val="both"/>
        <w:rPr/>
      </w:pPr>
    </w:p>
    <w:p>
      <w:pPr>
        <w:jc w:val="both"/>
        <w:rPr>
          <w:b w:val="1"/>
        </w:rPr>
      </w:pPr>
    </w:p>
    <w:p>
      <w:pPr>
        <w:jc w:val="both"/>
        <w:rPr>
          <w:b w:val="1"/>
        </w:rPr>
      </w:pPr>
    </w:p>
    <w:p>
      <w:pPr>
        <w:jc w:val="both"/>
        <w:rPr>
          <w:b w:val="1"/>
        </w:rPr>
      </w:pPr>
      <w:r>
        <w:rPr>
          <w:b w:val="1"/>
        </w:rPr>
        <w:t xml:space="preserve">Themes  </w:t>
      </w:r>
    </w:p>
    <w:p>
      <w:pPr>
        <w:jc w:val="both"/>
        <w:rPr/>
      </w:pPr>
      <w:r>
        <w:rPr/>
        <w:t xml:space="preserve">We are inviting individual and co-authored papers, panels, roundtables, book launch proposals, </w:t>
      </w:r>
      <w:r>
        <w:rPr/>
        <w:t xml:space="preserve">and other creative proposals under the theme, </w:t>
      </w:r>
      <w:r>
        <w:rPr>
          <w:b w:val="1"/>
        </w:rPr>
        <w:t xml:space="preserve">Remapping the feminist global:</w:t>
      </w:r>
      <w:r>
        <w:rPr>
          <w:i w:val="1"/>
          <w:b w:val="1"/>
        </w:rPr>
        <w:t xml:space="preserve"> A multi-vocal, </w:t>
      </w:r>
      <w:r>
        <w:rPr>
          <w:i w:val="1"/>
          <w:b w:val="1"/>
        </w:rPr>
        <w:t xml:space="preserve">multi-located conversation </w:t>
      </w:r>
      <w:r>
        <w:rPr/>
        <w:t xml:space="preserve">convened by co-hosts, ACWS, which houses Asian Journal of </w:t>
      </w:r>
      <w:r>
        <w:rPr/>
        <w:t xml:space="preserve">Women’s Studies, and IFJP. All participants will be invited to submit their papers to the </w:t>
      </w:r>
      <w:r>
        <w:rPr/>
        <w:t xml:space="preserve">journals for their respective special issues after the conference.</w:t>
      </w:r>
    </w:p>
    <w:p>
      <w:pPr>
        <w:jc w:val="both"/>
        <w:rPr>
          <w:b w:val="1"/>
        </w:rPr>
      </w:pPr>
    </w:p>
    <w:p>
      <w:pPr>
        <w:jc w:val="both"/>
        <w:rPr>
          <w:b w:val="1"/>
        </w:rPr>
      </w:pPr>
      <w:r>
        <w:rPr/>
        <w:t xml:space="preserve">This gathering recognizes</w:t>
      </w:r>
      <w:r>
        <w:rPr>
          <w:i w:val="1"/>
        </w:rPr>
        <w:t xml:space="preserve"> Asia is plural, requiring inter-Asian exchanges, and further, that the </w:t>
      </w:r>
      <w:r>
        <w:rPr>
          <w:i w:val="1"/>
        </w:rPr>
        <w:t xml:space="preserve">global world requires more careful remapping and engagement via and from Asia.</w:t>
      </w:r>
      <w:r>
        <w:rPr/>
        <w:t xml:space="preserve"> With inter-</w:t>
      </w:r>
      <w:r>
        <w:rPr/>
        <w:t xml:space="preserve">Asia/plural Asias at the center, the conference also seeks to explore the global through </w:t>
      </w:r>
      <w:r>
        <w:rPr/>
        <w:t xml:space="preserve">interregional south-south connections such as Afro-Asia and Pacific-Indigenous-Asia. The </w:t>
      </w:r>
      <w:r>
        <w:rPr/>
        <w:t xml:space="preserve">gathering also seeks to remap global feminism through rethinking disciplinary and academic </w:t>
      </w:r>
      <w:r>
        <w:rPr/>
        <w:t xml:space="preserve">categories of knowledge production that marginalize feminist visions, bodies, connections and </w:t>
      </w:r>
      <w:r>
        <w:rPr/>
        <w:t xml:space="preserve">modes of politics and knowing.</w:t>
      </w:r>
    </w:p>
    <w:p>
      <w:pPr>
        <w:jc w:val="both"/>
        <w:rPr>
          <w:b w:val="1"/>
        </w:rPr>
      </w:pPr>
    </w:p>
    <w:p>
      <w:pPr>
        <w:jc w:val="both"/>
        <w:rPr/>
      </w:pPr>
      <w:r>
        <w:rPr/>
        <w:t xml:space="preserve">Centering Asia as a way of disrupting hegemonic discourses requires a reckoning with race, </w:t>
      </w:r>
      <w:r>
        <w:rPr/>
        <w:t xml:space="preserve">racialization and the dynamics of gender discourses that are shaped by western and colonial </w:t>
      </w:r>
      <w:r>
        <w:rPr/>
        <w:t xml:space="preserve">influences. We invite diverse scholars and knowledge producers to convene under this theme </w:t>
      </w:r>
      <w:r>
        <w:rPr/>
        <w:t xml:space="preserve">to engage in multi-levelled and nuanced conversations about how issues of race, gender and </w:t>
      </w:r>
      <w:r>
        <w:rPr/>
        <w:t xml:space="preserve">racialization are </w:t>
      </w:r>
      <w:r>
        <w:rPr>
          <w:color w:val="000000" w:themeColor="text1"/>
        </w:rPr>
        <w:t xml:space="preserve">conceptualized and entwined, how </w:t>
      </w:r>
      <w:r>
        <w:rPr/>
        <w:t xml:space="preserve">they manifest, what meanings they carry, </w:t>
      </w:r>
      <w:r>
        <w:rPr/>
        <w:t xml:space="preserve">especially when using terminologies developed and spread from imperial spaces. We hope to </w:t>
      </w:r>
      <w:r>
        <w:rPr/>
        <w:t xml:space="preserve">stimulate scholarly debates that think through implications of these alternate discourses in </w:t>
      </w:r>
      <w:r>
        <w:rPr/>
        <w:t xml:space="preserve">light of the urgent need to dissect ramifications of racial, ethnic and gendered discriminations </w:t>
      </w:r>
      <w:r>
        <w:rPr/>
        <w:t xml:space="preserve">particularly when examined from Asian and postcolonial settings. </w:t>
      </w:r>
    </w:p>
    <w:p>
      <w:pPr>
        <w:jc w:val="both"/>
        <w:rPr/>
      </w:pPr>
    </w:p>
    <w:p>
      <w:pPr>
        <w:jc w:val="both"/>
        <w:rPr/>
      </w:pPr>
      <w:r>
        <w:rPr/>
        <w:t xml:space="preserve">We invite diverse and innovative submissions from feminists with strong critical, </w:t>
      </w:r>
      <w:r>
        <w:rPr/>
        <w:t xml:space="preserve">methodological, and theoretical strengths in the themes below. The categories are not meant to </w:t>
      </w:r>
      <w:r>
        <w:rPr/>
        <w:t xml:space="preserve">be mutually exclusive or exhaustive, and we welcome especially what may be amiss in them. </w:t>
      </w:r>
      <w:r>
        <w:rPr/>
        <w:t xml:space="preserve">We also especially encourage submissions offering new explorations of Asian feminisms, </w:t>
      </w:r>
      <w:r>
        <w:rPr/>
        <w:t xml:space="preserve">energizing feminist debates about processes of racialization that can help us to develop </w:t>
      </w:r>
      <w:r>
        <w:rPr/>
        <w:t xml:space="preserve">transformative visions to enact change, and delve into new directions.</w:t>
      </w:r>
    </w:p>
    <w:p>
      <w:pPr>
        <w:jc w:val="both"/>
        <w:rPr/>
      </w:pPr>
    </w:p>
    <w:p>
      <w:pPr>
        <w:jc w:val="both"/>
        <w:rPr>
          <w:color w:val="000000" w:themeColor="text1"/>
        </w:rPr>
      </w:pPr>
      <w:r>
        <w:rPr>
          <w:color w:val="000000" w:themeColor="text1"/>
          <w:rFonts w:hint="eastAsia"/>
        </w:rPr>
        <w:t> </w:t>
      </w:r>
    </w:p>
    <w:p>
      <w:pPr>
        <w:jc w:val="both"/>
        <w:rPr>
          <w:color w:val="000000" w:themeColor="text1"/>
        </w:rPr>
      </w:pPr>
      <w:r>
        <w:rPr>
          <w:b w:val="1"/>
          <w:color w:val="000000" w:themeColor="text1"/>
        </w:rPr>
        <w:t xml:space="preserve">Postcolonial and non-western feminist theories and practices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methods and theories on remapping the feminist global through Asia and/or other </w:t>
      </w:r>
      <w:r>
        <w:rPr>
          <w:color w:val="000000" w:themeColor="text1"/>
          <w:rFonts w:ascii="Times New Roman" w:hAnsi="Times New Roman" w:cs="Times New Roman"/>
        </w:rPr>
        <w:t>locations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methods for theorizing the intimate, aesthetics and/or the non- 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military colonialism and neocolonialism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empires and imperialism</w:t>
      </w:r>
    </w:p>
    <w:p>
      <w:pPr>
        <w:pStyle w:val="PO26"/>
        <w:numPr>
          <w:ilvl w:val="0"/>
          <w:numId w:val="8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south-south relations and internationalisms</w:t>
      </w:r>
    </w:p>
    <w:p>
      <w:pPr>
        <w:jc w:val="both"/>
        <w:rPr>
          <w:color w:val="000000" w:themeColor="text1"/>
        </w:rPr>
      </w:pPr>
      <w:r>
        <w:rPr>
          <w:color w:val="000000" w:themeColor="text1"/>
          <w:rFonts w:hint="eastAsia"/>
        </w:rPr>
        <w:t> </w:t>
      </w:r>
    </w:p>
    <w:p>
      <w:pPr>
        <w:jc w:val="both"/>
        <w:rPr>
          <w:color w:val="000000" w:themeColor="text1"/>
        </w:rPr>
      </w:pPr>
      <w:r>
        <w:rPr>
          <w:b w:val="1"/>
          <w:color w:val="000000" w:themeColor="text1"/>
        </w:rPr>
        <w:t xml:space="preserve">Feminist politics and policy</w:t>
      </w:r>
    </w:p>
    <w:p>
      <w:pPr>
        <w:pStyle w:val="PO26"/>
        <w:numPr>
          <w:ilvl w:val="0"/>
          <w:numId w:val="8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feminist perspectives on humanitarianism and human rights </w:t>
      </w:r>
    </w:p>
    <w:p>
      <w:pPr>
        <w:pStyle w:val="PO26"/>
        <w:numPr>
          <w:ilvl w:val="0"/>
          <w:numId w:val="8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discourses and practices to tackle gendered/sexualized violence</w:t>
      </w:r>
    </w:p>
    <w:p>
      <w:pPr>
        <w:pStyle w:val="PO26"/>
        <w:numPr>
          <w:ilvl w:val="0"/>
          <w:numId w:val="8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hate crime, affect, and activisms</w:t>
      </w:r>
    </w:p>
    <w:p>
      <w:pPr>
        <w:pStyle w:val="PO26"/>
        <w:numPr>
          <w:ilvl w:val="0"/>
          <w:numId w:val="8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activism and in-between spaces as sites of democratization</w:t>
      </w:r>
    </w:p>
    <w:p>
      <w:pPr>
        <w:pStyle w:val="PO26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sexuality, liberation and body politics</w:t>
      </w:r>
    </w:p>
    <w:p>
      <w:pPr>
        <w:pStyle w:val="PO26"/>
        <w:jc w:val="both"/>
        <w:rPr>
          <w:color w:val="000000" w:themeColor="text1"/>
          <w:rFonts w:ascii="Times New Roman" w:hAnsi="Times New Roman" w:cs="Times New Roman"/>
        </w:rPr>
      </w:pPr>
    </w:p>
    <w:p>
      <w:pPr>
        <w:jc w:val="both"/>
        <w:rPr>
          <w:b w:val="1"/>
          <w:color w:val="000000" w:themeColor="text1"/>
        </w:rPr>
      </w:pPr>
      <w:r>
        <w:rPr>
          <w:b w:val="1"/>
          <w:color w:val="000000" w:themeColor="text1"/>
        </w:rPr>
        <w:t xml:space="preserve">Race, racialization and gender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racialization and racial hierarchy in Asia</w:t>
      </w:r>
    </w:p>
    <w:p>
      <w:pPr>
        <w:pStyle w:val="PO26"/>
        <w:numPr>
          <w:ilvl w:val="0"/>
          <w:numId w:val="7"/>
        </w:numPr>
        <w:jc w:val="both"/>
        <w:rPr>
          <w:b w:val="1"/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intersectional discrimination, anti-multiculturalism and activism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gendered and racialized social policies and institutions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gendered and racialized experiences of the Covid19 pandemic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queer perspectives on race and racial issues</w:t>
      </w:r>
    </w:p>
    <w:p>
      <w:pPr>
        <w:pStyle w:val="PO26"/>
        <w:numPr>
          <w:ilvl w:val="0"/>
          <w:numId w:val="7"/>
        </w:numPr>
        <w:jc w:val="both"/>
        <w:rPr>
          <w:color w:val="000000" w:themeColor="text1"/>
          <w:rFonts w:ascii="Times New Roman" w:hAnsi="Times New Roman" w:cs="Times New Roman"/>
        </w:rPr>
      </w:pPr>
      <w:r>
        <w:rPr>
          <w:color w:val="000000" w:themeColor="text1"/>
          <w:rFonts w:ascii="Times New Roman" w:hAnsi="Times New Roman" w:cs="Times New Roman"/>
        </w:rPr>
        <w:t xml:space="preserve">migration and displacement</w:t>
      </w:r>
    </w:p>
    <w:p>
      <w:pPr>
        <w:jc w:val="both"/>
        <w:rPr>
          <w:color w:val="FF0000"/>
        </w:rPr>
      </w:pPr>
    </w:p>
    <w:p>
      <w:pPr>
        <w:jc w:val="both"/>
        <w:rPr/>
      </w:pPr>
      <w:r>
        <w:rPr/>
        <w:t xml:space="preserve">     </w:t>
      </w:r>
    </w:p>
    <w:p>
      <w:pPr>
        <w:jc w:val="both"/>
        <w:rPr>
          <w:b w:val="1"/>
        </w:rPr>
      </w:pPr>
      <w:r>
        <w:rPr>
          <w:b w:val="1"/>
        </w:rPr>
        <w:t xml:space="preserve">Submission Date: </w:t>
      </w:r>
      <w:r>
        <w:rPr>
          <w:b w:val="1"/>
          <w:color w:val="0611F2"/>
          <w:lang w:eastAsia="ko-KR"/>
        </w:rPr>
        <w:t>28</w:t>
      </w:r>
      <w:r>
        <w:rPr>
          <w:b w:val="1"/>
          <w:color w:val="0611F2"/>
        </w:rPr>
        <w:t xml:space="preserve"> </w:t>
      </w:r>
      <w:r>
        <w:rPr>
          <w:b w:val="1"/>
          <w:color w:val="0611F2"/>
          <w:lang w:eastAsia="ko-KR"/>
        </w:rPr>
        <w:t>Februa</w:t>
      </w:r>
      <w:r>
        <w:rPr>
          <w:b w:val="1"/>
          <w:color w:val="0611F2"/>
        </w:rPr>
        <w:t xml:space="preserve">ry 2022</w:t>
      </w:r>
    </w:p>
    <w:p>
      <w:pPr>
        <w:jc w:val="both"/>
        <w:rPr/>
      </w:pPr>
    </w:p>
    <w:p>
      <w:pPr>
        <w:jc w:val="both"/>
        <w:rPr>
          <w:b w:val="1"/>
        </w:rPr>
      </w:pPr>
      <w:r>
        <w:rPr>
          <w:b w:val="1"/>
        </w:rPr>
        <w:t xml:space="preserve">Submission Type: Individual and co-authored papers, panels, roundtables, book launch </w:t>
      </w:r>
      <w:r>
        <w:rPr>
          <w:b w:val="1"/>
        </w:rPr>
        <w:t xml:space="preserve">proposals, and other creative proposals</w:t>
      </w:r>
    </w:p>
    <w:p>
      <w:pPr>
        <w:jc w:val="both"/>
        <w:rPr>
          <w:b w:val="1"/>
        </w:rPr>
      </w:pPr>
    </w:p>
    <w:p>
      <w:pPr>
        <w:rPr>
          <w:b w:val="1"/>
        </w:rPr>
      </w:pPr>
      <w:r>
        <w:rPr>
          <w:b w:val="1"/>
        </w:rPr>
        <w:t xml:space="preserve">Submission Method: Submit your 250-word abstracts by filling out the form </w:t>
      </w:r>
      <w:r>
        <w:fldChar w:fldCharType="begin"/>
      </w:r>
      <w:r>
        <w:instrText xml:space="preserve">HYPERLINK "https://forms.gle/ckvV5ZLvNXLw3NRa6"</w:instrText>
      </w:r>
      <w:r>
        <w:fldChar w:fldCharType="separate"/>
      </w:r>
      <w:r>
        <w:rPr>
          <w:rStyle w:val="PO151"/>
          <w:b w:val="1"/>
        </w:rPr>
        <w:t>h</w:t>
      </w:r>
      <w:r>
        <w:rPr>
          <w:rStyle w:val="PO151"/>
          <w:b w:val="1"/>
        </w:rPr>
        <w:t>e</w:t>
      </w:r>
      <w:r>
        <w:rPr>
          <w:rStyle w:val="PO151"/>
          <w:b w:val="1"/>
        </w:rPr>
        <w:t>r</w:t>
      </w:r>
      <w:r>
        <w:rPr>
          <w:rStyle w:val="PO151"/>
          <w:b w:val="1"/>
        </w:rPr>
        <w:t>e</w:t>
      </w:r>
      <w:r>
        <w:rPr>
          <w:b w:val="1"/>
        </w:rPr>
        <w:fldChar w:fldCharType="end"/>
      </w:r>
      <w:r>
        <w:rPr>
          <w:rStyle w:val="PO151"/>
          <w:b w:val="1"/>
          <w:color w:val="auto"/>
          <w:u w:val="none"/>
        </w:rPr>
        <w:t>.</w:t>
      </w:r>
      <w:r>
        <w:rPr>
          <w:b w:val="1"/>
        </w:rPr>
        <w:t xml:space="preserve"> </w:t>
      </w:r>
    </w:p>
    <w:p>
      <w:pPr>
        <w:rPr>
          <w:i w:val="1"/>
        </w:rPr>
      </w:pPr>
      <w:r>
        <w:rPr>
          <w:i w:val="1"/>
        </w:rPr>
        <w:t xml:space="preserve">Please note: For panel or other multi-person submissions, you will need information of all </w:t>
      </w:r>
      <w:r>
        <w:rPr>
          <w:i w:val="1"/>
        </w:rPr>
        <w:t xml:space="preserve">your panelists/contributors including, individual contribution/paper abstracts, email </w:t>
      </w:r>
      <w:r>
        <w:rPr>
          <w:i w:val="1"/>
        </w:rPr>
        <w:t xml:space="preserve">addresses, location/institution information, and mode of participation</w:t>
      </w:r>
    </w:p>
    <w:p>
      <w:pPr>
        <w:jc w:val="both"/>
        <w:ind w:left="1843" w:hanging="1843"/>
        <w:rPr/>
      </w:pPr>
    </w:p>
    <w:p>
      <w:pPr>
        <w:jc w:val="both"/>
        <w:rPr>
          <w:b w:val="1"/>
        </w:rPr>
      </w:pPr>
      <w:r>
        <w:rPr>
          <w:b w:val="1"/>
        </w:rPr>
        <w:t xml:space="preserve">Notification Date: </w:t>
      </w:r>
      <w:r>
        <w:rPr>
          <w:b w:val="1"/>
          <w:color w:val="0611F2"/>
        </w:rPr>
        <w:t xml:space="preserve">19 </w:t>
      </w:r>
      <w:r>
        <w:rPr>
          <w:b w:val="1"/>
          <w:color w:val="0611F2"/>
          <w:lang w:eastAsia="ko-KR"/>
        </w:rPr>
        <w:t>March</w:t>
      </w:r>
      <w:r>
        <w:rPr>
          <w:b w:val="1"/>
          <w:color w:val="0611F2"/>
        </w:rPr>
        <w:t xml:space="preserve"> 2022</w:t>
      </w:r>
    </w:p>
    <w:p>
      <w:pPr>
        <w:jc w:val="both"/>
        <w:rPr>
          <w:b w:val="1"/>
        </w:rPr>
      </w:pPr>
    </w:p>
    <w:p>
      <w:pPr>
        <w:jc w:val="both"/>
        <w:rPr>
          <w:b w:val="1"/>
        </w:rPr>
      </w:pPr>
      <w:r>
        <w:rPr>
          <w:b w:val="1"/>
        </w:rPr>
        <w:t xml:space="preserve">Questions? Contact a member of the Organizing Committee:</w:t>
      </w:r>
    </w:p>
    <w:p>
      <w:pPr>
        <w:jc w:val="both"/>
        <w:ind w:left="720" w:firstLine="0"/>
        <w:rPr/>
      </w:pPr>
      <w:r>
        <w:rPr/>
        <w:t xml:space="preserve">shine choi, Te Kunenga ki Pūrehuroa Massey University, Aotearoa New Zealand </w:t>
      </w:r>
      <w:r>
        <w:rPr/>
        <w:t>(</w:t>
      </w:r>
      <w:r>
        <w:fldChar w:fldCharType="begin"/>
      </w:r>
      <w:r>
        <w:instrText xml:space="preserve">HYPERLINK "mailto:s.choi1@massey.ac.nz"</w:instrText>
      </w:r>
      <w:r>
        <w:fldChar w:fldCharType="separate"/>
      </w:r>
      <w:r>
        <w:rPr>
          <w:rStyle w:val="PO151"/>
        </w:rPr>
        <w:t>s</w:t>
      </w:r>
      <w:r>
        <w:rPr>
          <w:rStyle w:val="PO151"/>
        </w:rPr>
        <w:t>.</w:t>
      </w:r>
      <w:r>
        <w:rPr>
          <w:rStyle w:val="PO151"/>
        </w:rPr>
        <w:t>c</w:t>
      </w:r>
      <w:r>
        <w:rPr>
          <w:rStyle w:val="PO151"/>
        </w:rPr>
        <w:t>h</w:t>
      </w:r>
      <w:r>
        <w:rPr>
          <w:rStyle w:val="PO151"/>
        </w:rPr>
        <w:t>o</w:t>
      </w:r>
      <w:r>
        <w:rPr>
          <w:rStyle w:val="PO151"/>
        </w:rPr>
        <w:t>i</w:t>
      </w:r>
      <w:r>
        <w:rPr>
          <w:rStyle w:val="PO151"/>
        </w:rPr>
        <w:t>1</w:t>
      </w:r>
      <w:r>
        <w:rPr>
          <w:rStyle w:val="PO151"/>
        </w:rPr>
        <w:t>@</w:t>
      </w:r>
      <w:r>
        <w:rPr>
          <w:rStyle w:val="PO151"/>
        </w:rPr>
        <w:t>m</w:t>
      </w:r>
      <w:r>
        <w:rPr>
          <w:rStyle w:val="PO151"/>
        </w:rPr>
        <w:t>a</w:t>
      </w:r>
      <w:r>
        <w:rPr>
          <w:rStyle w:val="PO151"/>
        </w:rPr>
        <w:t>s</w:t>
      </w:r>
      <w:r>
        <w:rPr>
          <w:rStyle w:val="PO151"/>
        </w:rPr>
        <w:t>s</w:t>
      </w:r>
      <w:r>
        <w:rPr>
          <w:rStyle w:val="PO151"/>
        </w:rPr>
        <w:t>e</w:t>
      </w:r>
      <w:r>
        <w:rPr>
          <w:rStyle w:val="PO151"/>
        </w:rPr>
        <w:t>y</w:t>
      </w:r>
      <w:r>
        <w:rPr>
          <w:rStyle w:val="PO151"/>
        </w:rPr>
        <w:t>.</w:t>
      </w:r>
      <w:r>
        <w:rPr>
          <w:rStyle w:val="PO151"/>
        </w:rPr>
        <w:t>a</w:t>
      </w:r>
      <w:r>
        <w:rPr>
          <w:rStyle w:val="PO151"/>
        </w:rPr>
        <w:t>c</w:t>
      </w:r>
      <w:r>
        <w:rPr>
          <w:rStyle w:val="PO151"/>
        </w:rPr>
        <w:t>.</w:t>
      </w:r>
      <w:r>
        <w:rPr>
          <w:rStyle w:val="PO151"/>
        </w:rPr>
        <w:t>n</w:t>
      </w:r>
      <w:r>
        <w:rPr>
          <w:rStyle w:val="PO151"/>
        </w:rPr>
        <w:t>z</w:t>
      </w:r>
      <w:r>
        <w:rPr>
          <w:color w:val="auto"/>
          <w:rFonts w:ascii="맑은 고딕" w:eastAsia="맑은 고딕" w:hAnsi="맑은 고딕" w:cs="맑은 고딕"/>
        </w:rPr>
        <w:fldChar w:fldCharType="end"/>
      </w:r>
      <w:r>
        <w:rPr/>
        <w:t>)</w:t>
      </w:r>
    </w:p>
    <w:p>
      <w:pPr>
        <w:jc w:val="both"/>
        <w:ind w:left="720" w:firstLine="0"/>
        <w:rPr/>
      </w:pPr>
      <w:r>
        <w:rPr/>
        <w:t xml:space="preserve">Bina D’Costa, Australia National University, Canberra, Australia </w:t>
      </w:r>
      <w:r>
        <w:rPr/>
        <w:t>(</w:t>
      </w:r>
      <w:r>
        <w:fldChar w:fldCharType="begin"/>
      </w:r>
      <w:r>
        <w:instrText xml:space="preserve">HYPERLINK "mailto:bina.dcosta@anu.edu.au"</w:instrText>
      </w:r>
      <w:r>
        <w:fldChar w:fldCharType="separate"/>
      </w:r>
      <w:r>
        <w:rPr>
          <w:rStyle w:val="PO151"/>
        </w:rPr>
        <w:t>b</w:t>
      </w:r>
      <w:r>
        <w:rPr>
          <w:rStyle w:val="PO151"/>
        </w:rPr>
        <w:t>i</w:t>
      </w:r>
      <w:r>
        <w:rPr>
          <w:rStyle w:val="PO151"/>
        </w:rPr>
        <w:t>n</w:t>
      </w:r>
      <w:r>
        <w:rPr>
          <w:rStyle w:val="PO151"/>
        </w:rPr>
        <w:t>a</w:t>
      </w:r>
      <w:r>
        <w:rPr>
          <w:rStyle w:val="PO151"/>
        </w:rPr>
        <w:t>.</w:t>
      </w:r>
      <w:r>
        <w:rPr>
          <w:rStyle w:val="PO151"/>
        </w:rPr>
        <w:t>d</w:t>
      </w:r>
      <w:r>
        <w:rPr>
          <w:rStyle w:val="PO151"/>
        </w:rPr>
        <w:t>c</w:t>
      </w:r>
      <w:r>
        <w:rPr>
          <w:rStyle w:val="PO151"/>
        </w:rPr>
        <w:t>o</w:t>
      </w:r>
      <w:r>
        <w:rPr>
          <w:rStyle w:val="PO151"/>
        </w:rPr>
        <w:t>s</w:t>
      </w:r>
      <w:r>
        <w:rPr>
          <w:rStyle w:val="PO151"/>
        </w:rPr>
        <w:t>t</w:t>
      </w:r>
      <w:r>
        <w:rPr>
          <w:rStyle w:val="PO151"/>
        </w:rPr>
        <w:t>a</w:t>
      </w:r>
      <w:r>
        <w:rPr>
          <w:rStyle w:val="PO151"/>
        </w:rPr>
        <w:t>@</w:t>
      </w:r>
      <w:r>
        <w:rPr>
          <w:rStyle w:val="PO151"/>
        </w:rPr>
        <w:t>a</w:t>
      </w:r>
      <w:r>
        <w:rPr>
          <w:rStyle w:val="PO151"/>
        </w:rPr>
        <w:t>n</w:t>
      </w:r>
      <w:r>
        <w:rPr>
          <w:rStyle w:val="PO151"/>
        </w:rPr>
        <w:t>u</w:t>
      </w:r>
      <w:r>
        <w:rPr>
          <w:rStyle w:val="PO151"/>
        </w:rPr>
        <w:t>.</w:t>
      </w:r>
      <w:r>
        <w:rPr>
          <w:rStyle w:val="PO151"/>
        </w:rPr>
        <w:t>e</w:t>
      </w:r>
      <w:r>
        <w:rPr>
          <w:rStyle w:val="PO151"/>
        </w:rPr>
        <w:t>d</w:t>
      </w:r>
      <w:r>
        <w:rPr>
          <w:rStyle w:val="PO151"/>
        </w:rPr>
        <w:t>u</w:t>
      </w:r>
      <w:r>
        <w:rPr>
          <w:rStyle w:val="PO151"/>
        </w:rPr>
        <w:t>.</w:t>
      </w:r>
      <w:r>
        <w:rPr>
          <w:rStyle w:val="PO151"/>
        </w:rPr>
        <w:t>a</w:t>
      </w:r>
      <w:r>
        <w:rPr>
          <w:rStyle w:val="PO151"/>
        </w:rPr>
        <w:t>u</w:t>
      </w:r>
      <w:r>
        <w:rPr>
          <w:color w:val="auto"/>
          <w:rFonts w:ascii="맑은 고딕" w:eastAsia="맑은 고딕" w:hAnsi="맑은 고딕" w:cs="맑은 고딕"/>
        </w:rPr>
        <w:fldChar w:fldCharType="end"/>
      </w:r>
      <w:r>
        <w:rPr/>
        <w:t xml:space="preserve">) </w:t>
      </w:r>
    </w:p>
    <w:p>
      <w:pPr>
        <w:ind w:left="720" w:firstLine="0"/>
        <w:rPr/>
      </w:pPr>
      <w:r>
        <w:rPr/>
        <w:t xml:space="preserve">Ji young Jung, Ewha Womans University, Seoul, South Korea </w:t>
      </w:r>
      <w:r>
        <w:rPr>
          <w:color w:val="0611F2"/>
        </w:rPr>
        <w:t>(</w:t>
      </w:r>
      <w:r>
        <w:fldChar w:fldCharType="begin"/>
      </w:r>
      <w:r>
        <w:instrText xml:space="preserve">HYPERLINK "mailto:jyoung@ewha.ac.kr"</w:instrText>
      </w:r>
      <w:r>
        <w:fldChar w:fldCharType="separate"/>
      </w:r>
      <w:r>
        <w:rPr>
          <w:spacing w:val="0"/>
          <w:i w:val="0"/>
          <w:b w:val="0"/>
          <w:color w:val="0611F2"/>
          <w:sz w:val="18"/>
          <w:szCs w:val="18"/>
          <w:shd w:val="clear" w:fill="FFFFFF"/>
          <w:rFonts w:ascii="돋움" w:eastAsia="돋움" w:hAnsi="돋움" w:cs="돋움"/>
        </w:rPr>
        <w:t>acwsewha@ewha.ac.kr</w:t>
      </w:r>
      <w:r>
        <w:rPr>
          <w:color w:val="auto"/>
          <w:rFonts w:ascii="맑은 고딕" w:eastAsia="맑은 고딕" w:hAnsi="맑은 고딕" w:cs="맑은 고딕"/>
        </w:rPr>
        <w:fldChar w:fldCharType="end"/>
      </w:r>
      <w:r>
        <w:rPr>
          <w:color w:val="0611F2"/>
        </w:rPr>
        <w:t xml:space="preserve">)  </w:t>
      </w:r>
    </w:p>
    <w:p>
      <w:pPr>
        <w:jc w:val="both"/>
        <w:ind w:left="720" w:firstLine="0"/>
        <w:rPr/>
      </w:pPr>
      <w:r>
        <w:rPr/>
        <w:t xml:space="preserve">Swati Parashar, Gothenburg University, Göteborg, Sweden (</w:t>
      </w:r>
      <w:r>
        <w:fldChar w:fldCharType="begin"/>
      </w:r>
      <w:r>
        <w:instrText xml:space="preserve">HYPERLINK "mailto:swati.parashar@gu.se"</w:instrText>
      </w:r>
      <w:r>
        <w:fldChar w:fldCharType="separate"/>
      </w:r>
      <w:r>
        <w:rPr>
          <w:rStyle w:val="PO151"/>
        </w:rPr>
        <w:t>s</w:t>
      </w:r>
      <w:r>
        <w:rPr>
          <w:rStyle w:val="PO151"/>
        </w:rPr>
        <w:t>w</w:t>
      </w:r>
      <w:r>
        <w:rPr>
          <w:rStyle w:val="PO151"/>
        </w:rPr>
        <w:t>a</w:t>
      </w:r>
      <w:r>
        <w:rPr>
          <w:rStyle w:val="PO151"/>
        </w:rPr>
        <w:t>t</w:t>
      </w:r>
      <w:r>
        <w:rPr>
          <w:rStyle w:val="PO151"/>
        </w:rPr>
        <w:t>i</w:t>
      </w:r>
      <w:r>
        <w:rPr>
          <w:rStyle w:val="PO151"/>
        </w:rPr>
        <w:t>.</w:t>
      </w:r>
      <w:r>
        <w:rPr>
          <w:rStyle w:val="PO151"/>
        </w:rPr>
        <w:t>p</w:t>
      </w:r>
      <w:r>
        <w:rPr>
          <w:rStyle w:val="PO151"/>
        </w:rPr>
        <w:t>a</w:t>
      </w:r>
      <w:r>
        <w:rPr>
          <w:rStyle w:val="PO151"/>
        </w:rPr>
        <w:t>r</w:t>
      </w:r>
      <w:r>
        <w:rPr>
          <w:rStyle w:val="PO151"/>
        </w:rPr>
        <w:t>a</w:t>
      </w:r>
      <w:r>
        <w:rPr>
          <w:rStyle w:val="PO151"/>
        </w:rPr>
        <w:t>s</w:t>
      </w:r>
      <w:r>
        <w:rPr>
          <w:rStyle w:val="PO151"/>
        </w:rPr>
        <w:t>h</w:t>
      </w:r>
      <w:r>
        <w:rPr>
          <w:rStyle w:val="PO151"/>
        </w:rPr>
        <w:t>a</w:t>
      </w:r>
      <w:r>
        <w:rPr>
          <w:rStyle w:val="PO151"/>
        </w:rPr>
        <w:t>r</w:t>
      </w:r>
      <w:r>
        <w:rPr>
          <w:rStyle w:val="PO151"/>
        </w:rPr>
        <w:t>@</w:t>
      </w:r>
      <w:r>
        <w:rPr>
          <w:rStyle w:val="PO151"/>
        </w:rPr>
        <w:t>g</w:t>
      </w:r>
      <w:r>
        <w:rPr>
          <w:rStyle w:val="PO151"/>
        </w:rPr>
        <w:t>u</w:t>
      </w:r>
      <w:r>
        <w:rPr>
          <w:rStyle w:val="PO151"/>
        </w:rPr>
        <w:t>.</w:t>
      </w:r>
      <w:r>
        <w:rPr>
          <w:rStyle w:val="PO151"/>
        </w:rPr>
        <w:t>s</w:t>
      </w:r>
      <w:r>
        <w:rPr>
          <w:rStyle w:val="PO151"/>
        </w:rPr>
        <w:t>e</w:t>
      </w:r>
      <w:r>
        <w:rPr>
          <w:color w:val="auto"/>
          <w:rFonts w:ascii="맑은 고딕" w:eastAsia="맑은 고딕" w:hAnsi="맑은 고딕" w:cs="맑은 고딕"/>
        </w:rPr>
        <w:fldChar w:fldCharType="end"/>
      </w:r>
      <w:r>
        <w:rPr/>
        <w:t xml:space="preserve">) </w:t>
      </w:r>
    </w:p>
    <w:p>
      <w:pPr>
        <w:jc w:val="both"/>
        <w:rPr>
          <w:b w:val="1"/>
        </w:rPr>
      </w:pPr>
    </w:p>
    <w:p>
      <w:pPr>
        <w:jc w:val="both"/>
        <w:rPr>
          <w:b w:val="1"/>
        </w:rPr>
      </w:pPr>
    </w:p>
    <w:sectPr>
      <w15:footnoteColumns w:val="1"/>
      <w:footerReference w:type="even" r:id="rId7"/>
      <w:footerReference w:type="default" r:id="rId8"/>
      <w:pgSz w:w="11906" w:h="16838"/>
      <w:pgMar w:top="1440" w:left="1440" w:bottom="1440" w:right="1440" w:header="708" w:footer="708" w:gutter="0"/>
      <w:pgNumType w:fmt="decimal" w:start="1"/>
      <w:docGrid w:type="default" w:linePitch="360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Georgia">
    <w:panose1 w:val="02040502050405020303"/>
    <w:charset w:val="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"/>
    <w:family w:val="swiss"/>
    <w:pitch w:val="variable"/>
    <w:sig w:usb0="e00002ff" w:usb1="4000acff" w:usb2="00000001" w:usb3="00000000" w:csb0="0000019f" w:csb1="00000000"/>
  </w:font>
  <w:font w:name="Vrinda">
    <w:panose1 w:val="020B0502040204020203"/>
    <w:charset w:val="0"/>
    <w:family w:val="swiss"/>
    <w:pitch w:val="variable"/>
    <w:sig w:usb0="00010003" w:usb1="00000000" w:usb2="00000000" w:usb3="00000000" w:csb0="00000001" w:csb1="00000000"/>
  </w:font>
  <w:font w:name="Calibri Light">
    <w:panose1 w:val="020F0302020204030204"/>
    <w:charset w:val="0"/>
    <w:family w:val="swiss"/>
    <w:pitch w:val="variable"/>
    <w:sig w:usb0="a00002ef" w:usb1="4000207b" w:usb2="00000000" w:usb3="00000000" w:csb0="0000019f" w:csb1="00000000"/>
  </w:font>
</w:fonts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5="http://schemas.microsoft.com/office/word/2012/wordml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 mc:Ignorable="w14 wp14 w15">
  <w:p>
    <w:pPr>
      <w:pStyle w:val="PO161"/>
      <w:rPr>
        <w:rStyle w:val="PO163"/>
      </w:rPr>
    </w:pPr>
    <w:r>
      <w:rPr>
        <w:rFonts w:hint="eastAsia"/>
      </w:rPr>
      <w:fldChar w:fldCharType="begin"/>
    </w:r>
    <w:r>
      <w:rPr>
        <w:rFonts w:hint="eastAsia"/>
      </w:rPr>
      <w:instrText>PAGE  \* MERGEFORMAT</w:instrText>
    </w:r>
    <w:r>
      <w:rPr>
        <w:rStyle w:val="PO163"/>
      </w:rPr>
      <w:fldChar w:fldCharType="end"/>
    </w:r>
  </w:p>
  <w:p>
    <w:pPr>
      <w:pStyle w:val="PO161"/>
      <w:ind w:right="360" w:firstLine="0"/>
      <w:rPr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5="http://schemas.microsoft.com/office/word/2012/wordml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 mc:Ignorable="w14 wp14 w15">
  <w:p>
    <w:pPr>
      <w:pStyle w:val="PO161"/>
      <w:rPr>
        <w:rStyle w:val="PO163"/>
      </w:rPr>
    </w:pPr>
    <w:r>
      <w:rPr>
        <w:rFonts w:hint="eastAsia"/>
      </w:rPr>
      <w:fldChar w:fldCharType="begin"/>
    </w:r>
    <w:r>
      <w:rPr>
        <w:rFonts w:hint="eastAsia"/>
      </w:rPr>
      <w:instrText>PAGE  \* MERGEFORMAT</w:instrText>
    </w:r>
    <w:r>
      <w:fldChar w:fldCharType="separate"/>
    </w:r>
    <w:r>
      <w:rPr>
        <w:rStyle w:val="PO163"/>
      </w:rPr>
      <w:t>3</w:t>
    </w:r>
    <w:r>
      <w:rPr>
        <w:rStyle w:val="PO163"/>
      </w:rPr>
      <w:fldChar w:fldCharType="end"/>
    </w:r>
  </w:p>
  <w:p>
    <w:pPr>
      <w:pStyle w:val="PO161"/>
      <w:ind w:right="360" w:firstLine="0"/>
      <w:rPr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>
  <w:abstractNum w:abstractNumId="0">
    <w:multiLevelType w:val="hybridMultilevel"/>
    <w:nsid w:val="2F000000"/>
    <w:tmpl w:val="1F000014"/>
    <w:lvl w:ilvl="0">
      <w:lvlJc w:val="left"/>
      <w:numFmt w:val="bullet"/>
      <w:start w:val="13"/>
      <w:suff w:val="tab"/>
      <w:pPr>
        <w:ind w:left="720" w:hanging="360"/>
        <w:rPr/>
      </w:pPr>
      <w:rPr>
        <w:rFonts w:ascii="Times New Roman" w:eastAsia="Times New Roman" w:hAnsi="Times New Roman" w:cs="Times New Roman" w:hint="default"/>
      </w:rPr>
      <w:lvlText w:val="-"/>
    </w:lvl>
    <w:lvl w:ilvl="1">
      <w:lvlJc w:val="left"/>
      <w:numFmt w:val="bullet"/>
      <w:start w:val="1"/>
      <w:suff w:val="tab"/>
      <w:pPr>
        <w:ind w:left="144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16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288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60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32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04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76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480" w:hanging="360"/>
        <w:rPr/>
      </w:pPr>
      <w:rPr>
        <w:rFonts w:ascii="Wingdings" w:hAnsi="Wingdings" w:hint="default"/>
      </w:rPr>
      <w:lvlText w:val="§"/>
    </w:lvl>
  </w:abstractNum>
  <w:abstractNum w:abstractNumId="1">
    <w:multiLevelType w:val="hybridMultilevel"/>
    <w:nsid w:val="2F000001"/>
    <w:tmpl w:val="1F002411"/>
    <w:lvl w:ilvl="0">
      <w:lvlJc w:val="left"/>
      <w:numFmt w:val="bullet"/>
      <w:start w:val="13"/>
      <w:suff w:val="tab"/>
      <w:pPr>
        <w:ind w:left="720" w:hanging="360"/>
        <w:rPr/>
      </w:pPr>
      <w:rPr>
        <w:rFonts w:ascii="Times New Roman" w:eastAsia="Times New Roman" w:hAnsi="Times New Roman" w:cs="Times New Roman" w:hint="default"/>
      </w:rPr>
      <w:lvlText w:val="-"/>
    </w:lvl>
    <w:lvl w:ilvl="1">
      <w:lvlJc w:val="left"/>
      <w:numFmt w:val="bullet"/>
      <w:start w:val="1"/>
      <w:suff w:val="tab"/>
      <w:pPr>
        <w:ind w:left="144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16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288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60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32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04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76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480" w:hanging="360"/>
        <w:rPr/>
      </w:pPr>
      <w:rPr>
        <w:rFonts w:ascii="Wingdings" w:hAnsi="Wingdings" w:hint="default"/>
      </w:rPr>
      <w:lvlText w:val="§"/>
    </w:lvl>
  </w:abstractNum>
  <w:abstractNum w:abstractNumId="2">
    <w:multiLevelType w:val="hybridMultilevel"/>
    <w:nsid w:val="2F000002"/>
    <w:tmpl w:val="1F000C5F"/>
    <w:lvl w:ilvl="0">
      <w:lvlJc w:val="left"/>
      <w:numFmt w:val="bullet"/>
      <w:start w:val="1"/>
      <w:suff w:val="tab"/>
      <w:pPr>
        <w:ind w:left="720" w:hanging="360"/>
        <w:rPr/>
      </w:pPr>
      <w:rPr>
        <w:u w:val="none"/>
      </w:rPr>
      <w:lvlText w:val="●"/>
    </w:lvl>
    <w:lvl w:ilvl="1">
      <w:lvlJc w:val="left"/>
      <w:numFmt w:val="bullet"/>
      <w:start w:val="1"/>
      <w:suff w:val="tab"/>
      <w:pPr>
        <w:ind w:left="1440" w:hanging="360"/>
        <w:rPr/>
      </w:pPr>
      <w:rPr>
        <w:u w:val="none"/>
      </w:rPr>
      <w:lvlText w:val="○"/>
    </w:lvl>
    <w:lvl w:ilvl="2">
      <w:lvlJc w:val="left"/>
      <w:numFmt w:val="bullet"/>
      <w:start w:val="1"/>
      <w:suff w:val="tab"/>
      <w:pPr>
        <w:ind w:left="2160" w:hanging="360"/>
        <w:rPr/>
      </w:pPr>
      <w:rPr>
        <w:u w:val="none"/>
      </w:rPr>
      <w:lvlText w:val="■"/>
    </w:lvl>
    <w:lvl w:ilvl="3">
      <w:lvlJc w:val="left"/>
      <w:numFmt w:val="bullet"/>
      <w:start w:val="1"/>
      <w:suff w:val="tab"/>
      <w:pPr>
        <w:ind w:left="2880" w:hanging="360"/>
        <w:rPr/>
      </w:pPr>
      <w:rPr>
        <w:u w:val="none"/>
      </w:rPr>
      <w:lvlText w:val="●"/>
    </w:lvl>
    <w:lvl w:ilvl="4">
      <w:lvlJc w:val="left"/>
      <w:numFmt w:val="bullet"/>
      <w:start w:val="1"/>
      <w:suff w:val="tab"/>
      <w:pPr>
        <w:ind w:left="3600" w:hanging="360"/>
        <w:rPr/>
      </w:pPr>
      <w:rPr>
        <w:u w:val="none"/>
      </w:rPr>
      <w:lvlText w:val="○"/>
    </w:lvl>
    <w:lvl w:ilvl="5">
      <w:lvlJc w:val="left"/>
      <w:numFmt w:val="bullet"/>
      <w:start w:val="1"/>
      <w:suff w:val="tab"/>
      <w:pPr>
        <w:ind w:left="4320" w:hanging="360"/>
        <w:rPr/>
      </w:pPr>
      <w:rPr>
        <w:u w:val="none"/>
      </w:rPr>
      <w:lvlText w:val="■"/>
    </w:lvl>
    <w:lvl w:ilvl="6">
      <w:lvlJc w:val="left"/>
      <w:numFmt w:val="bullet"/>
      <w:start w:val="1"/>
      <w:suff w:val="tab"/>
      <w:pPr>
        <w:ind w:left="5040" w:hanging="360"/>
        <w:rPr/>
      </w:pPr>
      <w:rPr>
        <w:u w:val="none"/>
      </w:rPr>
      <w:lvlText w:val="●"/>
    </w:lvl>
    <w:lvl w:ilvl="7">
      <w:lvlJc w:val="left"/>
      <w:numFmt w:val="bullet"/>
      <w:start w:val="1"/>
      <w:suff w:val="tab"/>
      <w:pPr>
        <w:ind w:left="5760" w:hanging="360"/>
        <w:rPr/>
      </w:pPr>
      <w:rPr>
        <w:u w:val="none"/>
      </w:rPr>
      <w:lvlText w:val="○"/>
    </w:lvl>
    <w:lvl w:ilvl="8">
      <w:lvlJc w:val="left"/>
      <w:numFmt w:val="bullet"/>
      <w:start w:val="1"/>
      <w:suff w:val="tab"/>
      <w:pPr>
        <w:ind w:left="6480" w:hanging="360"/>
        <w:rPr/>
      </w:pPr>
      <w:rPr>
        <w:u w:val="none"/>
      </w:rPr>
      <w:lvlText w:val="■"/>
    </w:lvl>
  </w:abstractNum>
  <w:abstractNum w:abstractNumId="3">
    <w:multiLevelType w:val="hybridMultilevel"/>
    <w:nsid w:val="2F000003"/>
    <w:tmpl w:val="1F0033C2"/>
    <w:lvl w:ilvl="0">
      <w:lvlJc w:val="left"/>
      <w:numFmt w:val="bullet"/>
      <w:start w:val="1"/>
      <w:suff w:val="tab"/>
      <w:pPr>
        <w:ind w:left="720" w:hanging="360"/>
        <w:rPr/>
      </w:pPr>
      <w:rPr>
        <w:rFonts w:ascii="Symbol" w:hAnsi="Symbol" w:hint="default"/>
      </w:rPr>
      <w:lvlText w:val="·"/>
    </w:lvl>
    <w:lvl w:ilvl="1">
      <w:lvlJc w:val="left"/>
      <w:numFmt w:val="bullet"/>
      <w:start w:val="1"/>
      <w:suff w:val="tab"/>
      <w:pPr>
        <w:ind w:left="144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16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288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60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32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04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76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480" w:hanging="360"/>
        <w:rPr/>
      </w:pPr>
      <w:rPr>
        <w:rFonts w:ascii="Wingdings" w:hAnsi="Wingdings" w:hint="default"/>
      </w:rPr>
      <w:lvlText w:val="§"/>
    </w:lvl>
  </w:abstractNum>
  <w:abstractNum w:abstractNumId="4">
    <w:multiLevelType w:val="hybridMultilevel"/>
    <w:nsid w:val="2F000004"/>
    <w:tmpl w:val="1F002570"/>
    <w:lvl w:ilvl="0">
      <w:lvlJc w:val="left"/>
      <w:numFmt w:val="bullet"/>
      <w:start w:val="1"/>
      <w:suff w:val="tab"/>
      <w:pPr>
        <w:ind w:left="902" w:hanging="360"/>
        <w:rPr/>
      </w:pPr>
      <w:rPr>
        <w:rFonts w:ascii="Symbol" w:hAnsi="Symbol" w:hint="default"/>
      </w:rPr>
      <w:lvlText w:val="·"/>
    </w:lvl>
    <w:lvl w:ilvl="1">
      <w:lvlJc w:val="left"/>
      <w:numFmt w:val="bullet"/>
      <w:start w:val="1"/>
      <w:suff w:val="tab"/>
      <w:pPr>
        <w:ind w:left="1622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342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3062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782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502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222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942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662" w:hanging="360"/>
        <w:rPr/>
      </w:pPr>
      <w:rPr>
        <w:rFonts w:ascii="Wingdings" w:hAnsi="Wingdings" w:hint="default"/>
      </w:rPr>
      <w:lvlText w:val="§"/>
    </w:lvl>
  </w:abstractNum>
  <w:abstractNum w:abstractNumId="5">
    <w:multiLevelType w:val="hybridMultilevel"/>
    <w:nsid w:val="2F000005"/>
    <w:tmpl w:val="1F001EB6"/>
    <w:lvl w:ilvl="0">
      <w:lvlJc w:val="left"/>
      <w:numFmt w:val="bullet"/>
      <w:start w:val="1"/>
      <w:suff w:val="tab"/>
      <w:pPr>
        <w:ind w:left="1080" w:hanging="360"/>
        <w:rPr/>
      </w:pPr>
      <w:rPr>
        <w:rFonts w:ascii="Symbol" w:hAnsi="Symbol" w:hint="default"/>
      </w:rPr>
      <w:lvlText w:val="·"/>
    </w:lvl>
    <w:lvl w:ilvl="1">
      <w:lvlJc w:val="left"/>
      <w:numFmt w:val="bullet"/>
      <w:start w:val="1"/>
      <w:suff w:val="tab"/>
      <w:pPr>
        <w:ind w:left="180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52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324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96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68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40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612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840" w:hanging="360"/>
        <w:rPr/>
      </w:pPr>
      <w:rPr>
        <w:rFonts w:ascii="Wingdings" w:hAnsi="Wingdings" w:hint="default"/>
      </w:rPr>
      <w:lvlText w:val="§"/>
    </w:lvl>
  </w:abstractNum>
  <w:abstractNum w:abstractNumId="6">
    <w:multiLevelType w:val="hybridMultilevel"/>
    <w:nsid w:val="2F000006"/>
    <w:tmpl w:val="1F00166B"/>
    <w:lvl w:ilvl="0">
      <w:lvlJc w:val="left"/>
      <w:numFmt w:val="bullet"/>
      <w:start w:val="1"/>
      <w:suff w:val="tab"/>
      <w:pPr>
        <w:ind w:left="841" w:hanging="360"/>
        <w:rPr/>
      </w:pPr>
      <w:rPr>
        <w:rFonts w:ascii="Symbol" w:hAnsi="Symbol" w:hint="default"/>
      </w:rPr>
      <w:lvlText w:val="·"/>
    </w:lvl>
    <w:lvl w:ilvl="1">
      <w:lvlJc w:val="left"/>
      <w:numFmt w:val="bullet"/>
      <w:start w:val="1"/>
      <w:suff w:val="tab"/>
      <w:pPr>
        <w:ind w:left="1561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281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3001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721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441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161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881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601" w:hanging="360"/>
        <w:rPr/>
      </w:pPr>
      <w:rPr>
        <w:rFonts w:ascii="Wingdings" w:hAnsi="Wingdings" w:hint="default"/>
      </w:rPr>
      <w:lvlText w:val="§"/>
    </w:lvl>
  </w:abstractNum>
  <w:abstractNum w:abstractNumId="7">
    <w:multiLevelType w:val="hybridMultilevel"/>
    <w:nsid w:val="2F000007"/>
    <w:tmpl w:val="1F003957"/>
    <w:lvl w:ilvl="0">
      <w:lvlJc w:val="left"/>
      <w:numFmt w:val="bullet"/>
      <w:start w:val="1"/>
      <w:suff w:val="tab"/>
      <w:pPr>
        <w:ind w:left="1080" w:hanging="360"/>
        <w:rPr/>
      </w:pPr>
      <w:rPr>
        <w:rFonts w:ascii="Symbol" w:hAnsi="Symbol" w:hint="default"/>
      </w:rPr>
      <w:lvlText w:val="·"/>
    </w:lvl>
    <w:lvl w:ilvl="1">
      <w:lvlJc w:val="left"/>
      <w:numFmt w:val="bullet"/>
      <w:start w:val="1"/>
      <w:suff w:val="tab"/>
      <w:pPr>
        <w:ind w:left="180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52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324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96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68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40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612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840" w:hanging="360"/>
        <w:rPr/>
      </w:pPr>
      <w:rPr>
        <w:rFonts w:ascii="Wingdings" w:hAnsi="Wingdings" w:hint="default"/>
      </w:rPr>
      <w:lvlText w:val="§"/>
    </w:lvl>
  </w:abstractNum>
  <w:abstractNum w:abstractNumId="8">
    <w:multiLevelType w:val="hybridMultilevel"/>
    <w:nsid w:val="2F000008"/>
    <w:tmpl w:val="1F0034A9"/>
    <w:lvl w:ilvl="0">
      <w:lvlJc w:val="left"/>
      <w:numFmt w:val="bullet"/>
      <w:start w:val="1"/>
      <w:suff w:val="tab"/>
      <w:pPr>
        <w:ind w:left="720" w:hanging="360"/>
        <w:rPr/>
      </w:pPr>
      <w:rPr>
        <w:rFonts w:ascii="Symbol" w:hAnsi="Symbol" w:hint="default"/>
      </w:rPr>
      <w:lvlText w:val="©"/>
    </w:lvl>
    <w:lvl w:ilvl="1">
      <w:lvlJc w:val="left"/>
      <w:numFmt w:val="bullet"/>
      <w:start w:val="1"/>
      <w:suff w:val="tab"/>
      <w:pPr>
        <w:ind w:left="1440" w:hanging="360"/>
        <w:rPr/>
      </w:pPr>
      <w:rPr>
        <w:rFonts w:ascii="Courier New" w:hAnsi="Courier New" w:cs="Courier New" w:hint="default"/>
      </w:rPr>
      <w:lvlText w:val="o"/>
    </w:lvl>
    <w:lvl w:ilvl="2">
      <w:lvlJc w:val="left"/>
      <w:numFmt w:val="bullet"/>
      <w:start w:val="1"/>
      <w:suff w:val="tab"/>
      <w:pPr>
        <w:ind w:left="2160" w:hanging="360"/>
        <w:rPr/>
      </w:pPr>
      <w:rPr>
        <w:rFonts w:ascii="Wingdings" w:hAnsi="Wingdings" w:hint="default"/>
      </w:rPr>
      <w:lvlText w:val="§"/>
    </w:lvl>
    <w:lvl w:ilvl="3">
      <w:lvlJc w:val="left"/>
      <w:numFmt w:val="bullet"/>
      <w:start w:val="1"/>
      <w:suff w:val="tab"/>
      <w:pPr>
        <w:ind w:left="2880" w:hanging="360"/>
        <w:rPr/>
      </w:pPr>
      <w:rPr>
        <w:rFonts w:ascii="Symbol" w:hAnsi="Symbol" w:hint="default"/>
      </w:rPr>
      <w:lvlText w:val="·"/>
    </w:lvl>
    <w:lvl w:ilvl="4">
      <w:lvlJc w:val="left"/>
      <w:numFmt w:val="bullet"/>
      <w:start w:val="1"/>
      <w:suff w:val="tab"/>
      <w:pPr>
        <w:ind w:left="3600" w:hanging="360"/>
        <w:rPr/>
      </w:pPr>
      <w:rPr>
        <w:rFonts w:ascii="Courier New" w:hAnsi="Courier New" w:cs="Courier New" w:hint="default"/>
      </w:rPr>
      <w:lvlText w:val="o"/>
    </w:lvl>
    <w:lvl w:ilvl="5">
      <w:lvlJc w:val="left"/>
      <w:numFmt w:val="bullet"/>
      <w:start w:val="1"/>
      <w:suff w:val="tab"/>
      <w:pPr>
        <w:ind w:left="4320" w:hanging="360"/>
        <w:rPr/>
      </w:pPr>
      <w:rPr>
        <w:rFonts w:ascii="Wingdings" w:hAnsi="Wingdings" w:hint="default"/>
      </w:rPr>
      <w:lvlText w:val="§"/>
    </w:lvl>
    <w:lvl w:ilvl="6">
      <w:lvlJc w:val="left"/>
      <w:numFmt w:val="bullet"/>
      <w:start w:val="1"/>
      <w:suff w:val="tab"/>
      <w:pPr>
        <w:ind w:left="5040" w:hanging="360"/>
        <w:rPr/>
      </w:pPr>
      <w:rPr>
        <w:rFonts w:ascii="Symbol" w:hAnsi="Symbol" w:hint="default"/>
      </w:rPr>
      <w:lvlText w:val="·"/>
    </w:lvl>
    <w:lvl w:ilvl="7">
      <w:lvlJc w:val="left"/>
      <w:numFmt w:val="bullet"/>
      <w:start w:val="1"/>
      <w:suff w:val="tab"/>
      <w:pPr>
        <w:ind w:left="5760" w:hanging="360"/>
        <w:rPr/>
      </w:pPr>
      <w:rPr>
        <w:rFonts w:ascii="Courier New" w:hAnsi="Courier New" w:cs="Courier New" w:hint="default"/>
      </w:rPr>
      <w:lvlText w:val="o"/>
    </w:lvl>
    <w:lvl w:ilvl="8">
      <w:lvlJc w:val="left"/>
      <w:numFmt w:val="bullet"/>
      <w:start w:val="1"/>
      <w:suff w:val="tab"/>
      <w:pPr>
        <w:ind w:left="6480" w:hanging="360"/>
        <w:rPr/>
      </w:pPr>
      <w:rPr>
        <w:rFonts w:ascii="Wingdings" w:hAnsi="Wingdings" w:hint="default"/>
      </w:rPr>
      <w:lvlText w:val="§"/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8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720"/>
  <w:displayHorizontalDrawingGridEvery w:val="0"/>
  <w:displayVertic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bordersDoNotSurroundFooter/>
  <w:compat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bidi="bn-IN" w:eastAsia="ko-KR"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rPr/>
      </w:pPr>
    </w:pPrDefault>
    <w:rPrDefault>
      <w:rPr>
        <w:sz w:val="24"/>
        <w:szCs w:val="24"/>
        <w:rFonts w:ascii="Times New Roman" w:hAnsi="Times New Roman" w:cs="Times New Roman" w:eastAsiaTheme="minorEastAsia"/>
        <w:lang w:bidi="ar-SA" w:eastAsia="ko-KR" w:val="en-US"/>
      </w:rPr>
    </w:rPrDefault>
  </w:docDefaults>
  <w:style w:default="1" w:styleId="PO1" w:type="paragraph">
    <w:name w:val="Normal"/>
    <w:qFormat/>
  </w:style>
  <w:style w:default="1" w:styleId="PO2" w:type="character">
    <w:name w:val="Default Paragraph Font"/>
    <w:uiPriority w:val="1"/>
    <w:semiHidden/>
    <w:unhideWhenUsed/>
  </w:style>
  <w:style w:default="1" w:styleId="PO3" w:type="table">
    <w:name w:val="Normal Table"/>
    <w:uiPriority w:val="99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99"/>
    <w:semiHidden/>
    <w:unhideWhenUsed/>
  </w:style>
  <w:style w:styleId="PO6" w:type="paragraph">
    <w:name w:val="Title"/>
    <w:basedOn w:val="PO1"/>
    <w:next w:val="PO1"/>
    <w:qFormat/>
    <w:uiPriority w:val="10"/>
    <w:pPr>
      <w:spacing w:before="480" w:after="120"/>
      <w:rPr/>
    </w:pPr>
    <w:rPr>
      <w:b w:val="1"/>
      <w:sz w:val="72"/>
      <w:szCs w:val="72"/>
    </w:rPr>
  </w:style>
  <w:style w:styleId="PO7" w:type="paragraph">
    <w:name w:val="heading 1"/>
    <w:basedOn w:val="PO1"/>
    <w:next w:val="PO1"/>
    <w:qFormat/>
    <w:uiPriority w:val="9"/>
    <w:pPr>
      <w:spacing w:before="480" w:after="120"/>
      <w:rPr/>
      <w:outlineLvl w:val="0"/>
    </w:pPr>
    <w:rPr>
      <w:b w:val="1"/>
      <w:sz w:val="48"/>
      <w:szCs w:val="48"/>
    </w:rPr>
  </w:style>
  <w:style w:styleId="PO8" w:type="paragraph">
    <w:name w:val="heading 2"/>
    <w:basedOn w:val="PO1"/>
    <w:next w:val="PO1"/>
    <w:qFormat/>
    <w:uiPriority w:val="9"/>
    <w:semiHidden/>
    <w:unhideWhenUsed/>
    <w:pPr>
      <w:spacing w:before="360" w:after="80"/>
      <w:rPr/>
      <w:outlineLvl w:val="1"/>
    </w:pPr>
    <w:rPr>
      <w:b w:val="1"/>
      <w:sz w:val="36"/>
      <w:szCs w:val="36"/>
    </w:rPr>
  </w:style>
  <w:style w:styleId="PO9" w:type="paragraph">
    <w:name w:val="heading 3"/>
    <w:basedOn w:val="PO1"/>
    <w:next w:val="PO1"/>
    <w:qFormat/>
    <w:uiPriority w:val="9"/>
    <w:semiHidden/>
    <w:unhideWhenUsed/>
    <w:pPr>
      <w:spacing w:before="280" w:after="80"/>
      <w:rPr/>
      <w:outlineLvl w:val="2"/>
    </w:pPr>
    <w:rPr>
      <w:b w:val="1"/>
      <w:sz w:val="28"/>
      <w:szCs w:val="28"/>
    </w:rPr>
  </w:style>
  <w:style w:styleId="PO10" w:type="paragraph">
    <w:name w:val="heading 4"/>
    <w:basedOn w:val="PO1"/>
    <w:next w:val="PO1"/>
    <w:qFormat/>
    <w:uiPriority w:val="9"/>
    <w:semiHidden/>
    <w:unhideWhenUsed/>
    <w:pPr>
      <w:spacing w:before="240" w:after="40"/>
      <w:rPr/>
      <w:outlineLvl w:val="3"/>
    </w:pPr>
    <w:rPr>
      <w:b w:val="1"/>
    </w:rPr>
  </w:style>
  <w:style w:styleId="PO11" w:type="paragraph">
    <w:name w:val="heading 5"/>
    <w:basedOn w:val="PO1"/>
    <w:next w:val="PO1"/>
    <w:qFormat/>
    <w:uiPriority w:val="9"/>
    <w:semiHidden/>
    <w:unhideWhenUsed/>
    <w:pPr>
      <w:spacing w:before="220" w:after="40"/>
      <w:rPr/>
      <w:outlineLvl w:val="4"/>
    </w:pPr>
    <w:rPr>
      <w:b w:val="1"/>
      <w:sz w:val="22"/>
      <w:szCs w:val="22"/>
    </w:rPr>
  </w:style>
  <w:style w:styleId="PO12" w:type="paragraph">
    <w:name w:val="heading 6"/>
    <w:basedOn w:val="PO1"/>
    <w:next w:val="PO1"/>
    <w:qFormat/>
    <w:uiPriority w:val="9"/>
    <w:semiHidden/>
    <w:unhideWhenUsed/>
    <w:pPr>
      <w:spacing w:before="200" w:after="40"/>
      <w:rPr/>
      <w:outlineLvl w:val="5"/>
    </w:pPr>
    <w:rPr>
      <w:b w:val="1"/>
      <w:sz w:val="20"/>
      <w:szCs w:val="20"/>
    </w:rPr>
  </w:style>
  <w:style w:styleId="PO16" w:type="paragraph">
    <w:name w:val="Subtitle"/>
    <w:basedOn w:val="PO1"/>
    <w:next w:val="PO1"/>
    <w:qFormat/>
    <w:uiPriority w:val="11"/>
    <w:pPr>
      <w:spacing w:before="360" w:after="80"/>
      <w:rPr/>
    </w:pPr>
    <w:rPr>
      <w:i w:val="1"/>
      <w:color w:val="666666"/>
      <w:sz w:val="48"/>
      <w:szCs w:val="48"/>
      <w:rFonts w:ascii="Georgia" w:eastAsia="Georgia" w:hAnsi="Georgia" w:cs="Georgia"/>
    </w:rPr>
  </w:style>
  <w:style w:styleId="PO26" w:type="paragraph">
    <w:name w:val="List Paragraph"/>
    <w:basedOn w:val="PO1"/>
    <w:qFormat/>
    <w:uiPriority w:val="34"/>
    <w:pPr>
      <w:contextualSpacing w:val="1"/>
      <w:ind w:left="720" w:firstLine="0"/>
      <w:rPr/>
    </w:pPr>
    <w:rPr>
      <w:rFonts w:asciiTheme="minorHAnsi" w:hAnsiTheme="minorHAnsi" w:cstheme="minorBidi"/>
    </w:rPr>
  </w:style>
  <w:style w:styleId="PO37" w:type="table">
    <w:name w:val="Table Grid"/>
    <w:basedOn w:val="PO3"/>
    <w:uiPriority w:val="39"/>
    <w:rPr>
      <w:lang w:eastAsia="en-US"/>
    </w:rPr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</w:tblPr>
  </w:style>
  <w:style w:styleId="PO151" w:type="character">
    <w:name w:val="Hyperlink"/>
    <w:basedOn w:val="PO2"/>
    <w:uiPriority w:val="99"/>
    <w:unhideWhenUsed/>
    <w:rPr>
      <w:color w:val="0563C1" w:themeColor="hyperlink"/>
      <w:u w:val="single"/>
    </w:rPr>
  </w:style>
  <w:style w:customStyle="1" w:styleId="PO152" w:type="character">
    <w:name w:val="apple-converted-space"/>
    <w:basedOn w:val="PO2"/>
  </w:style>
  <w:style w:styleId="PO153" w:type="paragraph">
    <w:name w:val="annotation text"/>
    <w:basedOn w:val="PO1"/>
    <w:link w:val="PO154"/>
    <w:uiPriority w:val="99"/>
    <w:semiHidden/>
    <w:unhideWhenUsed/>
    <w:rPr>
      <w:sz w:val="20"/>
      <w:szCs w:val="20"/>
    </w:rPr>
  </w:style>
  <w:style w:customStyle="1" w:styleId="PO154" w:type="character">
    <w:name w:val="메모 텍스트 Char"/>
    <w:basedOn w:val="PO2"/>
    <w:link w:val="PO153"/>
    <w:uiPriority w:val="99"/>
    <w:semiHidden/>
    <w:rPr>
      <w:sz w:val="20"/>
      <w:szCs w:val="20"/>
    </w:rPr>
  </w:style>
  <w:style w:styleId="PO155" w:type="character">
    <w:name w:val="annotation reference"/>
    <w:basedOn w:val="PO2"/>
    <w:uiPriority w:val="99"/>
    <w:semiHidden/>
    <w:unhideWhenUsed/>
    <w:rPr>
      <w:sz w:val="16"/>
      <w:szCs w:val="16"/>
    </w:rPr>
  </w:style>
  <w:style w:styleId="PO156" w:type="paragraph">
    <w:name w:val="annotation subject"/>
    <w:basedOn w:val="PO153"/>
    <w:next w:val="PO153"/>
    <w:link w:val="PO157"/>
    <w:uiPriority w:val="99"/>
    <w:semiHidden/>
    <w:unhideWhenUsed/>
    <w:rPr>
      <w:b w:val="1"/>
    </w:rPr>
  </w:style>
  <w:style w:customStyle="1" w:styleId="PO157" w:type="character">
    <w:name w:val="메모 주제 Char"/>
    <w:basedOn w:val="PO154"/>
    <w:link w:val="PO156"/>
    <w:uiPriority w:val="99"/>
    <w:semiHidden/>
    <w:rPr>
      <w:b w:val="1"/>
      <w:sz w:val="20"/>
      <w:szCs w:val="20"/>
    </w:rPr>
  </w:style>
  <w:style w:styleId="PO158" w:type="paragraph">
    <w:name w:val="Revision"/>
    <w:uiPriority w:val="99"/>
    <w:semiHidden/>
  </w:style>
  <w:style w:customStyle="1" w:styleId="PO159" w:type="character">
    <w:name w:val="Unresolved Mention"/>
    <w:basedOn w:val="PO2"/>
    <w:uiPriority w:val="99"/>
    <w:semiHidden/>
    <w:unhideWhenUsed/>
    <w:rPr>
      <w:color w:val="605E5C"/>
      <w:shd w:val="clear" w:color="000000" w:fill="E1DFDD"/>
    </w:rPr>
  </w:style>
  <w:style w:styleId="PO160" w:type="character">
    <w:name w:val="FollowedHyperlink"/>
    <w:basedOn w:val="PO2"/>
    <w:uiPriority w:val="99"/>
    <w:semiHidden/>
    <w:unhideWhenUsed/>
    <w:rPr>
      <w:color w:val="954F72" w:themeColor="followedHyperlink"/>
      <w:u w:val="single"/>
    </w:rPr>
  </w:style>
  <w:style w:styleId="PO161" w:type="paragraph">
    <w:name w:val="footer"/>
    <w:basedOn w:val="PO1"/>
    <w:link w:val="PO162"/>
    <w:uiPriority w:val="99"/>
    <w:unhideWhenUsed/>
    <w:pPr>
      <w:tabs>
        <w:tab w:val="center" w:pos="4513"/>
        <w:tab w:val="right" w:pos="9026"/>
      </w:tabs>
      <w:rPr/>
    </w:pPr>
  </w:style>
  <w:style w:customStyle="1" w:styleId="PO162" w:type="character">
    <w:name w:val="바닥글 Char"/>
    <w:basedOn w:val="PO2"/>
    <w:link w:val="PO161"/>
    <w:uiPriority w:val="99"/>
  </w:style>
  <w:style w:styleId="PO163" w:type="character">
    <w:name w:val="page number"/>
    <w:basedOn w:val="PO2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settings" Target="settings.xml"></Relationship><Relationship Id="rId2" Type="http://schemas.openxmlformats.org/officeDocument/2006/relationships/styles" Target="styles.xml"></Relationship><Relationship Id="rId3" Type="http://schemas.openxmlformats.org/officeDocument/2006/relationships/webSettings" Target="webSettings.xml"></Relationship><Relationship Id="rId4" Type="http://schemas.openxmlformats.org/officeDocument/2006/relationships/fontTable" Target="fontTable.xml"></Relationship><Relationship Id="rId5" Type="http://schemas.openxmlformats.org/officeDocument/2006/relationships/image" Target="media/image1.jpeg"></Relationship><Relationship Id="rId6" Type="http://schemas.openxmlformats.org/officeDocument/2006/relationships/image" Target="media/image2.png"></Relationship><Relationship Id="rId7" Type="http://schemas.openxmlformats.org/officeDocument/2006/relationships/footer" Target="footer2.xml"></Relationship><Relationship Id="rId8" Type="http://schemas.openxmlformats.org/officeDocument/2006/relationships/footer" Target="footer3.xml"></Relationship><Relationship Id="rId9" Type="http://schemas.openxmlformats.org/officeDocument/2006/relationships/numbering" Target="numbering.xml"></Relationship><Relationship Id="rId10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Polaris Office Word</Application>
  <AppVersion>12.000</AppVersion>
  <Characters>7934</Characters>
  <CharactersWithSpaces>0</CharactersWithSpaces>
  <Company>Microsoft</Company>
  <DocSecurity>0</DocSecurity>
  <HyperlinksChanged>false</HyperlinksChanged>
  <Lines>56</Lines>
  <LinksUpToDate>false</LinksUpToDate>
  <Pages>3</Pages>
  <Paragraphs>15</Paragraphs>
  <Words>1186</Words>
  <TotalTime>0</TotalTime>
  <MMClips>0</MMClip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shine choi</dc:creator>
  <cp:lastModifiedBy>Park seo yeon</cp:lastModifiedBy>
  <cp:version>9.103.112.46022</cp:version>
  <dcterms:modified xsi:type="dcterms:W3CDTF">2021-12-20T05:14:00Z</dcterms:modified>
</cp:coreProperties>
</file>